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90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Open Sans" w:cs="Open Sans" w:eastAsia="Open Sans" w:hAnsi="Open Sans"/>
          <w:color w:val="000000"/>
          <w:sz w:val="22"/>
          <w:szCs w:val="22"/>
          <w:shd w:fill="cccccc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shd w:fill="cccccc" w:val="clear"/>
          <w:rtl w:val="0"/>
        </w:rPr>
        <w:t xml:space="preserve">Documento europeo único de contratación (DEUC)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00"/>
        <w:jc w:val="both"/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I: Información sobre el procedimiento de contratación y el poder adjudicador o la entidad adjudicadora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Información sobre la publicación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Número del anuncio en el 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URL del 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Diario Oficial nacional: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Identidad del contratante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Nombre oficial: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 Cámara Oficial de Comercio, Industria, Servicios y Navegación de Sevilla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País: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España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Información sobre el procedimiento de contratación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yanmar Text" w:cs="Myanmar Text" w:eastAsia="Myanmar Text" w:hAnsi="Myanmar Text"/>
          <w:color w:val="000000"/>
          <w:sz w:val="22"/>
          <w:szCs w:val="22"/>
        </w:rPr>
      </w:pPr>
      <w:r w:rsidDel="00000000" w:rsidR="00000000" w:rsidRPr="00000000">
        <w:rPr>
          <w:rFonts w:ascii="Myanmar Text" w:cs="Myanmar Text" w:eastAsia="Myanmar Text" w:hAnsi="Myanmar Text"/>
          <w:b w:val="1"/>
          <w:color w:val="000000"/>
          <w:sz w:val="22"/>
          <w:szCs w:val="22"/>
          <w:rtl w:val="0"/>
        </w:rPr>
        <w:t xml:space="preserve">Tipo de procedimiento: Abierto por lotes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Título: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CONTRATACIÓN DE LOS SERVICIOS DE DOCENCIA PARA EL DESARROLLO DEL PROGRAMA 45+, COFINANCIADO POR EL FSE, MEDIANTE PROCEDIMIENTO ABIERTO.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Breve descripción: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El objeto del contrato es la prestación de los servicios de docencia para el desarrollo del Programa 45+, cofinanciado por el FSE, en los términos requeridos en el PPT.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Número de referencia del expediente asignado por el poder adjudicador o la entidad adjudicadora (en su caso):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5/2021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II: Información sobre el operador económico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A: Información sobre el operador económico</w:t>
      </w: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2"/>
          <w:szCs w:val="22"/>
          <w:shd w:fill="0084d1" w:val="clear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69"/>
        </w:tabs>
        <w:ind w:right="378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Calle y número: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84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Código postal: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840"/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Ciudad: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País: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8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Dirección Internet (dirección de la página web) (en su caso):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18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18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Teléfono: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34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Persona o personas de contacto: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1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Número de IVA, si procede: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Si no se dispone de un número de IVA, indique otro número de identificación nacional, en su caso y cuando se exija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¿Es el operador económico una microempresa, una pequeña o una mediana empresa?</w:t>
      </w:r>
      <w:r w:rsidDel="00000000" w:rsidR="00000000" w:rsidRPr="00000000">
        <w:rPr>
          <w:rtl w:val="0"/>
        </w:rPr>
      </w:r>
    </w:p>
    <w:tbl>
      <w:tblPr>
        <w:tblStyle w:val="Table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Únicamente en caso de contratación reservada: el operador económico ¿es un taller protegido o una empresa social o prevé que el contrato se ejecute en el marco de programas de empleo protegido?</w:t>
      </w:r>
      <w:r w:rsidDel="00000000" w:rsidR="00000000" w:rsidRPr="00000000">
        <w:rPr>
          <w:rtl w:val="0"/>
        </w:rPr>
      </w:r>
    </w:p>
    <w:tbl>
      <w:tblPr>
        <w:tblStyle w:val="Table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afirmativo: ¿Cuál es el correspondiente porcentaje de trabajadores discapacitados o desfavorecidos?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necesario, especifique a qué categoría o categorías pertenecen los trabajadores discapacitados o desfavorecidos de que se trate.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8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8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su caso, ¿figura el operador económico inscrito en una lista oficial de operadores económicos autorizados o tiene un certificado equivalente (p. ej., en el marco de un sistema nacional de (preclasificación)?</w:t>
      </w:r>
      <w:r w:rsidDel="00000000" w:rsidR="00000000" w:rsidRPr="00000000">
        <w:rPr>
          <w:rtl w:val="0"/>
        </w:rPr>
      </w:r>
    </w:p>
    <w:tbl>
      <w:tblPr>
        <w:tblStyle w:val="Table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Sírvase responder a las restantes preguntas de esta sección, a la sección B y, cuando proceda, a la sección C de la presente parte, cumplimente, cuando proceda, la parte V, y, en cualquier caso, cumplimente y firme la parte VI.</w:t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80"/>
        </w:tabs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55"/>
        </w:tabs>
        <w:ind w:right="12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a) Indique el número de inscripción o certificación pertinente, si procede: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65"/>
        </w:tabs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b) Si el certificado de inscripción o la certificación están disponibles en formato electrónico, sírvase indicar: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35"/>
        </w:tabs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35"/>
        </w:tabs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c) Indique las referencias en las que se basa la inscripción o certificación y, en su caso, la clasificación obtenida en la lista oficial: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65"/>
        </w:tabs>
        <w:ind w:right="3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d)¿Abarca la inscripción o certificación todos los criterios de selección exigidos?</w:t>
      </w:r>
      <w:r w:rsidDel="00000000" w:rsidR="00000000" w:rsidRPr="00000000">
        <w:rPr>
          <w:rtl w:val="0"/>
        </w:rPr>
      </w:r>
    </w:p>
    <w:tbl>
      <w:tblPr>
        <w:tblStyle w:val="Table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80"/>
        </w:tabs>
        <w:ind w:right="10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¿Está participando el operador económico en el procedimiento de contratación junto con otros?</w:t>
      </w:r>
      <w:r w:rsidDel="00000000" w:rsidR="00000000" w:rsidRPr="00000000">
        <w:rPr>
          <w:rtl w:val="0"/>
        </w:rPr>
      </w:r>
    </w:p>
    <w:tbl>
      <w:tblPr>
        <w:tblStyle w:val="Table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afirmativo, asegúrese de que los demás interesados presentan un formulario DEUC separado y responda a lo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a) Indique la función del operador económico dentro del grupo (responsable principal, responsable de cometidos específicos, etc.):</w:t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b) Identifique a los demás operadores económicos que participan en el procedimiento de contratación conjuntamente:</w:t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c) En su caso, nombre del grupo participante:</w:t>
      </w:r>
    </w:p>
    <w:p w:rsidR="00000000" w:rsidDel="00000000" w:rsidP="00000000" w:rsidRDefault="00000000" w:rsidRPr="00000000" w14:paraId="000000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su caso, indicación del lote o lotes para los cuales el operador económico desea presentar una oferta: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B: Información sobre los representantes del operador económico  #1</w:t>
      </w: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2"/>
          <w:szCs w:val="22"/>
          <w:shd w:fill="0084d1" w:val="clear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6" w:hanging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En su caso, indíquense el nombre y la dirección de la persona o personas habilitadas para representar al operador económico a efectos del presente procedimiento de contratación:</w:t>
      </w:r>
    </w:p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Apellidos: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Fecha de nacimiento: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Lugar de nacimiento: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Calle y número: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Código postal: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Ciudad: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País: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Teléfono: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Cargo/calidad en la que actúa: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necesario, facilite información detallada sobre la representación (sus formas, alcance, finalidad …):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C: Información sobre el recurso a la capacidad de otras entidades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¿Se basa el operador económico en la capacidad de otras entidades para satisfacer los criterios de selección contemplados en la parte IV y los criterios y normas (en su caso) contemplados en la parte V, más abajo?</w:t>
      </w:r>
      <w:r w:rsidDel="00000000" w:rsidR="00000000" w:rsidRPr="00000000">
        <w:rPr>
          <w:rtl w:val="0"/>
        </w:rPr>
      </w:r>
    </w:p>
    <w:tbl>
      <w:tblPr>
        <w:tblStyle w:val="Table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afirmativo: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Siempre que resulte pertinente en lo que respecta a la capacidad o capacidades específicas a las que recurra el operador económico, incluya la información exigida en las partes IV y V por cada una de las entidades de que se trate.</w:t>
      </w:r>
    </w:p>
    <w:p w:rsidR="00000000" w:rsidDel="00000000" w:rsidP="00000000" w:rsidRDefault="00000000" w:rsidRPr="00000000" w14:paraId="000000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ffffff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D: Información relativa a los subcontratistas a cuya capacidad no recurra el operador económico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34"/>
        </w:tabs>
        <w:ind w:left="454" w:hanging="227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(Esta sección se cumplimentará únicamente si el poder adjudicador o la entidad adjudicadora exigen expresamente tal información.)</w:t>
      </w:r>
    </w:p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4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¿Tiene el operador económico la intención de subcontratar alguna parte del contrato a terceros?</w:t>
      </w:r>
      <w:r w:rsidDel="00000000" w:rsidR="00000000" w:rsidRPr="00000000">
        <w:rPr>
          <w:rtl w:val="0"/>
        </w:rPr>
      </w:r>
    </w:p>
    <w:tbl>
      <w:tblPr>
        <w:tblStyle w:val="Table7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afirmativo y en la medida en que se conozca este dato, enumere los subcontratistas previstos: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6" w:hanging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:rsidR="00000000" w:rsidDel="00000000" w:rsidP="00000000" w:rsidRDefault="00000000" w:rsidRPr="00000000" w14:paraId="000000B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III: Motivos de exclusión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A: Motivos referidos a condenas penales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artículo 57, apartado 1, de la Directiva 2014/24/UE establece los siguientes motivos de exclusión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(indique las respuestas)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Participación en una organización delictiva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Table8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9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Corrupción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Table10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Fraude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Table1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D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Delitos de terrorismo o delitos ligados a las actividades terroristas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Table1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Blanqueo de capitales o financiación del terrorismo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8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Table1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F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8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2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7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F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2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Trabajo infantil y otras formas de trata de seres humanos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:rsidR="00000000" w:rsidDel="00000000" w:rsidP="00000000" w:rsidRDefault="00000000" w:rsidRPr="00000000" w14:paraId="000000F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Table18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9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62"/>
          <w:tab w:val="left" w:pos="8948"/>
        </w:tabs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B: Motivos referidos al pago de impuestos o de cotizaciones a la seguridad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artículo 57, apartado 2, de la Directiva 2014/24/UE establece los siguientes motivos de exclusión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(indique las respuestas)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Pago de impuestos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Table20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2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Cotizaciones a la seguridad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Table2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2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  <w:shd w:fill="0084d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C: Motivos referidos a la insolvencia, los conflictos de intereses o la falta profesional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artículo 57, apartado 4, de la Directiva 2014/24/UE establece los siguientes motivos de exclusión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(indique las respuestas)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Incumplimiento de obligaciones en el ámbito del Derecho medioambiental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Table2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Incumplimiento de obligaciones en los ámbitos del Derecho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Table2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Incumplimiento de obligaciones en los ámbitos del Derecho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Table2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Quiebra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¿Se encuentra el operador económico en quiebra?</w:t>
      </w:r>
    </w:p>
    <w:tbl>
      <w:tblPr>
        <w:tblStyle w:val="Table27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28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Insolvencia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¿Está el operador económico sometido a un procedimiento de insolvencia o liquidación?</w:t>
      </w:r>
    </w:p>
    <w:tbl>
      <w:tblPr>
        <w:tblStyle w:val="Table29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0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Convenio con los acreedores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celebrado el operador económico un convenio con sus acreedores?</w:t>
      </w:r>
    </w:p>
    <w:tbl>
      <w:tblPr>
        <w:tblStyle w:val="Table3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Situación análoga a la quiebra con arreglo al Derecho 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¿Está el operador económico en alguna situación análoga a la quiebra, resultante de un procedimiento similar vigente en las disposiciones legales y reglamentarias nacionales?</w:t>
      </w:r>
    </w:p>
    <w:tbl>
      <w:tblPr>
        <w:tblStyle w:val="Table3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Activos que están siendo administrados por un liquidador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¿Están los activos del operador económico siendo administrados por un liquidador o por un tribunal?</w:t>
      </w:r>
    </w:p>
    <w:tbl>
      <w:tblPr>
        <w:tblStyle w:val="Table3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Las actividades empresariales han sido suspendidas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¿Han sido suspendidas las actividades empresariales del operador económico?</w:t>
      </w:r>
    </w:p>
    <w:tbl>
      <w:tblPr>
        <w:tblStyle w:val="Table37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8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Acuerdos con otros operadores económicos destinados a falsear la competencia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celebrado el operador económico acuerdos con otros operadores económicos destinados a falsear la competencia?</w:t>
      </w:r>
    </w:p>
    <w:tbl>
      <w:tblPr>
        <w:tblStyle w:val="Table39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Ha cometido una falta profesional grave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Table40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Conflicto de intereses debido a su participación en el procedimiento de contratación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Table4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Participación, directa o indirecta, en la preparación del presente procedimiento de contratación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Table4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Rescisión anticipada, imposición de daños y perjuicios u otras sanciones comparables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Table4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Presentación de declaraciones falsas, ocultación de información, incapacidad de presentar los documentos exigidos y obtención de información confidencial del presente procedimiento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¿Se ha encontrado el operador económico en alguna de las situaciones siguientes:</w:t>
      </w:r>
    </w:p>
    <w:p w:rsidR="00000000" w:rsidDel="00000000" w:rsidP="00000000" w:rsidRDefault="00000000" w:rsidRPr="00000000" w14:paraId="000001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a) ha sido declarado culpable de falsedad grave al proporcionar la información exigida para verificar la inexistencia de motivos de exclusión o el cumplimiento de los criterios de selección,</w:t>
      </w:r>
    </w:p>
    <w:p w:rsidR="00000000" w:rsidDel="00000000" w:rsidP="00000000" w:rsidRDefault="00000000" w:rsidRPr="00000000" w14:paraId="000001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b) ha ocultado tal información,</w:t>
      </w:r>
    </w:p>
    <w:p w:rsidR="00000000" w:rsidDel="00000000" w:rsidP="00000000" w:rsidRDefault="00000000" w:rsidRPr="00000000" w14:paraId="000001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c) no ha podido presentar sin demora los documentos justificativos exigidos por el poder adjudicador o la entidad adjudicadora, y</w:t>
      </w:r>
    </w:p>
    <w:p w:rsidR="00000000" w:rsidDel="00000000" w:rsidP="00000000" w:rsidRDefault="00000000" w:rsidRPr="00000000" w14:paraId="000001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Table4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IV: Criterios de selección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  <w:shd w:fill="0084d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ffffff"/>
          <w:sz w:val="22"/>
          <w:szCs w:val="22"/>
          <w:shd w:fill="0084d1" w:val="clear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shd w:fill="0084d1" w:val="clear"/>
          <w:rtl w:val="0"/>
        </w:rPr>
        <w:t xml:space="preserve">ɑ: Indicación global relativa a todos los criterios de selección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Respecto a los criterios de selección, el operador económico declara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Cumple todos los criterios de selección requeridos: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Indique la respuesta</w:t>
      </w:r>
      <w:r w:rsidDel="00000000" w:rsidR="00000000" w:rsidRPr="00000000">
        <w:rPr>
          <w:rtl w:val="0"/>
        </w:rPr>
      </w:r>
    </w:p>
    <w:tbl>
      <w:tblPr>
        <w:tblStyle w:val="Table4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V: Reducción del número de candidatos cualificados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operador económico declara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Cumple los criterios objetivos y no discriminatorios o las normas que deben aplicarse a fin de limitar el número de candidatos de la manera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los casos en que se exija la presentación de determinados certificados u otras formas de pruebas documentales, indique respecto a cada uno de ellos si el operador económico posee los documentos necesarios: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Si algunos de estos certificados u otros tipos de pruebas documentales están disponibles en formato electrónico, sírvase indicar respecto de cada uno de ellos: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Indique la respuesta</w:t>
      </w:r>
      <w:r w:rsidDel="00000000" w:rsidR="00000000" w:rsidRPr="00000000">
        <w:rPr>
          <w:rtl w:val="0"/>
        </w:rPr>
      </w:r>
    </w:p>
    <w:tbl>
      <w:tblPr>
        <w:tblStyle w:val="Table4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D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UE?Indique la respuesta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VI: Declaraciones finales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operador económico declara formalmente que la información comunicada en las partes II – V es exacta y veraz y ha sido facilitada con pleno conocimiento de las consecuencias de una falsa declaración de carácter grave.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operador económico declara formalmente que podrá aportar los certificados y otros tipos de pruebas documentales contemplados sin tardanza, cuando se le soliciten, salvo en caso de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Fecha, lugar y firma o firmas: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560" w:top="2235" w:left="1418" w:right="1418" w:header="227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Myanmar Text"/>
  <w:font w:name="Noto Sans Symbols"/>
  <w:font w:name="Liberation Serif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Open Sans Light" w:cs="Open Sans Light" w:eastAsia="Open Sans Light" w:hAnsi="Open Sans Light"/>
        <w:color w:val="000000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Open Sans" w:cs="Open Sans" w:eastAsia="Open Sans" w:hAnsi="Open Sans"/>
        <w:color w:val="000000"/>
      </w:rPr>
    </w:pPr>
    <w:r w:rsidDel="00000000" w:rsidR="00000000" w:rsidRPr="00000000">
      <w:rPr>
        <w:rFonts w:ascii="Open Sans" w:cs="Open Sans" w:eastAsia="Open Sans" w:hAnsi="Open Sans"/>
        <w:b w:val="1"/>
        <w:color w:val="000000"/>
        <w:rtl w:val="0"/>
      </w:rPr>
      <w:t xml:space="preserve">ANEXO: FORMULARIO DEUC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-1276349</wp:posOffset>
          </wp:positionV>
          <wp:extent cx="5759140" cy="584200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584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27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•"/>
      <w:lvlJc w:val="left"/>
      <w:pPr>
        <w:ind w:left="636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99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•"/>
      <w:lvlJc w:val="left"/>
      <w:pPr>
        <w:ind w:left="135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1716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07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•"/>
      <w:lvlJc w:val="left"/>
      <w:pPr>
        <w:ind w:left="243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2796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15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63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996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35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•"/>
      <w:lvlJc w:val="left"/>
      <w:pPr>
        <w:ind w:left="171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076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43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•"/>
      <w:lvlJc w:val="left"/>
      <w:pPr>
        <w:ind w:left="279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156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51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mo41DKmWcUTlkYPpsPE0rTFlJw==">AMUW2mXKmEnikLh6aoQgTof7jQHUF+0nclxyFIcne5aoAmNDNhCmOlM0rZHP4Le8D14ThxG1RxtmYxDOWjgL0an7m/3OvvQWLr2naWEl42IWTyPoaRYdcLUbKsXVAIXNpHEJHU5XCo5s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2021-02-04T08:01:00Z</dcterms:created>
  <dc:creator>Angel Vera Rodrígez</dc:creator>
</cp:coreProperties>
</file>